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89"/>
      </w:tblGrid>
      <w:tr w:rsidR="00227EEA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EEA" w:rsidRDefault="00BA09EC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noProof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EA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EEA" w:rsidRDefault="00BA09EC">
            <w:pPr>
              <w:pStyle w:val="rvps17"/>
              <w:spacing w:before="30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23"/>
                <w:lang w:val="uk" w:eastAsia="uk"/>
              </w:rPr>
              <w:t>КАБІНЕТ МІНІСТРІВ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64"/>
                <w:lang w:val="uk" w:eastAsia="uk"/>
              </w:rPr>
              <w:t>ПОСТАНОВА</w:t>
            </w:r>
          </w:p>
        </w:tc>
      </w:tr>
      <w:tr w:rsidR="00227EEA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EEA" w:rsidRDefault="00BA09EC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від 1 червня 2023 р. № 547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Київ</w:t>
            </w:r>
          </w:p>
        </w:tc>
      </w:tr>
    </w:tbl>
    <w:p w:rsidR="00227EEA" w:rsidRDefault="00BA09EC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1" w:name="n3"/>
      <w:bookmarkEnd w:id="1"/>
      <w:r>
        <w:rPr>
          <w:rStyle w:val="spanrvts23"/>
          <w:lang w:val="uk" w:eastAsia="uk"/>
        </w:rPr>
        <w:t>Про внесення змін до Порядку надання статусу дитини, яка постраждала внаслідок воєнних дій та збройних конфліктів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" w:name="n4"/>
      <w:bookmarkEnd w:id="2"/>
      <w:r>
        <w:rPr>
          <w:rStyle w:val="spanrvts0"/>
          <w:lang w:val="uk" w:eastAsia="uk"/>
        </w:rPr>
        <w:t xml:space="preserve">Кабінет Міністрів України </w:t>
      </w:r>
      <w:r>
        <w:rPr>
          <w:rStyle w:val="spanrvts52"/>
          <w:lang w:val="uk" w:eastAsia="uk"/>
        </w:rPr>
        <w:t>постановляє: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3" w:name="n5"/>
      <w:bookmarkEnd w:id="3"/>
      <w:r>
        <w:rPr>
          <w:rStyle w:val="spanrvts0"/>
          <w:lang w:val="uk" w:eastAsia="uk"/>
        </w:rPr>
        <w:t xml:space="preserve">Внести до </w:t>
      </w:r>
      <w:hyperlink r:id="rId7" w:anchor="n8" w:tgtFrame="_blank" w:history="1">
        <w:r>
          <w:rPr>
            <w:rStyle w:val="arvts96"/>
            <w:lang w:val="uk" w:eastAsia="uk"/>
          </w:rPr>
          <w:t>Порядку надання статусу дитини, яка постраждала внаслідок воєнних дій та збройних конфліктів</w:t>
        </w:r>
      </w:hyperlink>
      <w:r>
        <w:rPr>
          <w:rStyle w:val="spanrvts0"/>
          <w:lang w:val="uk" w:eastAsia="uk"/>
        </w:rPr>
        <w:t>, затвердженого постановою Кабінету Міністрів України від 5 квітня 2017 р. № 2</w:t>
      </w:r>
      <w:r>
        <w:rPr>
          <w:rStyle w:val="spanrvts0"/>
          <w:lang w:val="uk" w:eastAsia="uk"/>
        </w:rPr>
        <w:t>68 (Офіційний вісник України, 2017 р., № 35, ст. 1105; 2018 р., № 36, ст. 1267; 2019 р., № 44, ст. 1533), зміни, що додаються.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07"/>
        <w:gridCol w:w="6782"/>
      </w:tblGrid>
      <w:tr w:rsidR="00227EEA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EEA" w:rsidRDefault="00BA09EC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4" w:name="n6"/>
            <w:bookmarkEnd w:id="4"/>
            <w:r>
              <w:rPr>
                <w:rStyle w:val="spanrvts44"/>
                <w:lang w:val="uk" w:eastAsia="uk"/>
              </w:rPr>
              <w:t>Прем'єр-міністр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EEA" w:rsidRDefault="00BA09EC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Д. ШМИГАЛЬ</w:t>
            </w:r>
          </w:p>
        </w:tc>
      </w:tr>
      <w:tr w:rsidR="00227EE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EEA" w:rsidRDefault="00BA09EC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Інд. 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EEA" w:rsidRDefault="00227EEA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</w:p>
        </w:tc>
      </w:tr>
    </w:tbl>
    <w:p w:rsidR="00227EEA" w:rsidRDefault="00BA09EC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5" style="width:0;height:.75pt" o:hrpct="0" o:hrstd="t" o:hr="t" fillcolor="gray" stroked="f">
            <v:path strokeok="f"/>
          </v:rect>
        </w:pict>
      </w:r>
      <w:bookmarkStart w:id="5" w:name="n30"/>
      <w:bookmarkEnd w:id="5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76"/>
        <w:gridCol w:w="5813"/>
      </w:tblGrid>
      <w:tr w:rsidR="00227EEA" w:rsidRPr="00BA09EC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EEA" w:rsidRDefault="00227EE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6" w:name="n7"/>
            <w:bookmarkEnd w:id="6"/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EEA" w:rsidRDefault="00BA09EC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ЗАТВЕРДЖЕНО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постановою Кабінету Міністрів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від 1 червня 2023 р. № 547</w:t>
            </w:r>
          </w:p>
        </w:tc>
      </w:tr>
    </w:tbl>
    <w:p w:rsidR="00227EEA" w:rsidRDefault="00BA09EC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7" w:name="n8"/>
      <w:bookmarkEnd w:id="7"/>
      <w:r>
        <w:rPr>
          <w:rStyle w:val="spanrvts23"/>
          <w:lang w:val="uk" w:eastAsia="uk"/>
        </w:rPr>
        <w:t>З</w:t>
      </w:r>
      <w:r>
        <w:rPr>
          <w:rStyle w:val="spanrvts23"/>
          <w:lang w:val="uk" w:eastAsia="uk"/>
        </w:rPr>
        <w:t xml:space="preserve">МІНИ, </w:t>
      </w:r>
      <w:r>
        <w:rPr>
          <w:rStyle w:val="spanrvts23"/>
          <w:lang w:val="uk" w:eastAsia="uk"/>
        </w:rPr>
        <w:br/>
        <w:t xml:space="preserve">що вносяться до </w:t>
      </w:r>
      <w:hyperlink r:id="rId8" w:anchor="n8" w:tgtFrame="_blank" w:history="1">
        <w:r>
          <w:rPr>
            <w:rStyle w:val="arvts105"/>
            <w:lang w:val="uk" w:eastAsia="uk"/>
          </w:rPr>
          <w:t>Порядку надання статусу дитини, яка постраждала внаслідок воєнних дій та збройних конфліктів</w:t>
        </w:r>
      </w:hyperlink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8" w:name="n9"/>
      <w:bookmarkEnd w:id="8"/>
      <w:r>
        <w:rPr>
          <w:rStyle w:val="spanrvts0"/>
          <w:lang w:val="uk" w:eastAsia="uk"/>
        </w:rPr>
        <w:t xml:space="preserve">1. </w:t>
      </w:r>
      <w:hyperlink r:id="rId9" w:anchor="n49" w:tgtFrame="_blank" w:history="1">
        <w:r>
          <w:rPr>
            <w:rStyle w:val="arvts96"/>
            <w:lang w:val="uk" w:eastAsia="uk"/>
          </w:rPr>
          <w:t>Підпункт 3</w:t>
        </w:r>
      </w:hyperlink>
      <w:r>
        <w:rPr>
          <w:rStyle w:val="spanrvts0"/>
          <w:lang w:val="uk" w:eastAsia="uk"/>
        </w:rPr>
        <w:t xml:space="preserve"> пункту 2 викласти в такій редакції: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9" w:name="n10"/>
      <w:bookmarkEnd w:id="9"/>
      <w:r>
        <w:rPr>
          <w:rStyle w:val="spanrvts0"/>
          <w:lang w:val="uk" w:eastAsia="uk"/>
        </w:rPr>
        <w:t>“3) психологічне насильство, якого зазнала дитина внаслідок воєнних дій та збройних конфліктів (далі - психологічне насильство), - моральні та психологічні страждання (</w:t>
      </w:r>
      <w:r>
        <w:rPr>
          <w:rStyle w:val="spanrvts0"/>
          <w:lang w:val="uk" w:eastAsia="uk"/>
        </w:rPr>
        <w:t>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</w:t>
      </w:r>
      <w:r>
        <w:rPr>
          <w:rStyle w:val="spanrvts0"/>
          <w:lang w:val="uk" w:eastAsia="uk"/>
        </w:rPr>
        <w:t>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</w:t>
      </w:r>
      <w:r>
        <w:rPr>
          <w:rStyle w:val="spanrvts0"/>
          <w:lang w:val="uk" w:eastAsia="uk"/>
        </w:rPr>
        <w:t xml:space="preserve">риторії України чи за кордоном її батьків або одного з них - із числа цивільних осіб, а також її батьків або одного з них - з числа осіб, визначених </w:t>
      </w:r>
      <w:r>
        <w:rPr>
          <w:rStyle w:val="spanrvts96"/>
          <w:color w:val="111111"/>
          <w:lang w:val="uk" w:eastAsia="uk"/>
        </w:rPr>
        <w:t>пунктом 2</w:t>
      </w:r>
      <w:r>
        <w:rPr>
          <w:rStyle w:val="spanrvts0"/>
          <w:lang w:val="uk" w:eastAsia="uk"/>
        </w:rPr>
        <w:t xml:space="preserve"> Порядку надання статусу члена сім’ї загиблого (померлого) Захисника чи Захисниці України, затверд</w:t>
      </w:r>
      <w:r>
        <w:rPr>
          <w:rStyle w:val="spanrvts0"/>
          <w:lang w:val="uk" w:eastAsia="uk"/>
        </w:rPr>
        <w:t>женого постановою Кабінету Міністрів України від 23 вересня 2015 р. № 740 (Офіційний вісник України, 2015 р., № 78, ст. 2605; 2022 р., № 57, ст. 3390).”.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0" w:name="n11"/>
      <w:bookmarkEnd w:id="10"/>
      <w:r>
        <w:rPr>
          <w:rStyle w:val="spanrvts0"/>
          <w:lang w:val="uk" w:eastAsia="uk"/>
        </w:rPr>
        <w:t xml:space="preserve">2. </w:t>
      </w:r>
      <w:hyperlink r:id="rId10" w:anchor="n14" w:tgtFrame="_blank" w:history="1">
        <w:r>
          <w:rPr>
            <w:rStyle w:val="arvts96"/>
            <w:lang w:val="uk" w:eastAsia="uk"/>
          </w:rPr>
          <w:t>Абзац перш</w:t>
        </w:r>
        <w:r>
          <w:rPr>
            <w:rStyle w:val="arvts96"/>
            <w:lang w:val="uk" w:eastAsia="uk"/>
          </w:rPr>
          <w:t>ий</w:t>
        </w:r>
      </w:hyperlink>
      <w:r>
        <w:rPr>
          <w:rStyle w:val="spanrvts0"/>
          <w:lang w:val="uk" w:eastAsia="uk"/>
        </w:rPr>
        <w:t xml:space="preserve"> пункту 3 викласти в такій редакції: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1" w:name="n12"/>
      <w:bookmarkEnd w:id="11"/>
      <w:r>
        <w:rPr>
          <w:rStyle w:val="spanrvts0"/>
          <w:lang w:val="uk" w:eastAsia="uk"/>
        </w:rPr>
        <w:t>“3. Право на отримання статусу має дитина, а також особа, яка на час воєнних дій, збройних конфліктів, збройної агресії Російської Федерації не досягла 18 років (повноліття), і в результаті:”.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2" w:name="n13"/>
      <w:bookmarkEnd w:id="12"/>
      <w:r>
        <w:rPr>
          <w:rStyle w:val="spanrvts0"/>
          <w:lang w:val="uk" w:eastAsia="uk"/>
        </w:rPr>
        <w:t xml:space="preserve">3. </w:t>
      </w:r>
      <w:hyperlink r:id="rId11" w:anchor="n21" w:tgtFrame="_blank" w:history="1">
        <w:r>
          <w:rPr>
            <w:rStyle w:val="arvts96"/>
            <w:lang w:val="uk" w:eastAsia="uk"/>
          </w:rPr>
          <w:t>Пункт 5</w:t>
        </w:r>
      </w:hyperlink>
      <w:r>
        <w:rPr>
          <w:rStyle w:val="spanrvts0"/>
          <w:lang w:val="uk" w:eastAsia="uk"/>
        </w:rPr>
        <w:t xml:space="preserve"> викласти в такій редакції: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3" w:name="n14"/>
      <w:bookmarkEnd w:id="13"/>
      <w:r>
        <w:rPr>
          <w:rStyle w:val="spanrvts0"/>
          <w:lang w:val="uk" w:eastAsia="uk"/>
        </w:rPr>
        <w:t>“5. Статус надається органом опіки та піклування за задекларованим/зареєстрованим місцем проживання/перебування дитини як внутрішньо переміщеної особи, з</w:t>
      </w:r>
      <w:r>
        <w:rPr>
          <w:rStyle w:val="spanrvts0"/>
          <w:lang w:val="uk" w:eastAsia="uk"/>
        </w:rPr>
        <w:t>а місцем звернення, якщо місце проживання/перебування дитини не задеклароване/ не зареєстроване або задеклароване/зареєстроване на території, на якій ведуться (велися) бойові дії або тимчасово окупованій Російською Федерацією, або за місцем виявлення такої</w:t>
      </w:r>
      <w:r>
        <w:rPr>
          <w:rStyle w:val="spanrvts0"/>
          <w:lang w:val="uk" w:eastAsia="uk"/>
        </w:rPr>
        <w:t xml:space="preserve"> дитини місцевими органами виконавчої влади та/або органами місцевого самоврядування.”.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4" w:name="n15"/>
      <w:bookmarkEnd w:id="14"/>
      <w:r>
        <w:rPr>
          <w:rStyle w:val="spanrvts0"/>
          <w:lang w:val="uk" w:eastAsia="uk"/>
        </w:rPr>
        <w:t xml:space="preserve">4. У </w:t>
      </w:r>
      <w:hyperlink r:id="rId12" w:anchor="n23" w:tgtFrame="_blank" w:history="1">
        <w:r>
          <w:rPr>
            <w:rStyle w:val="arvts96"/>
            <w:lang w:val="uk" w:eastAsia="uk"/>
          </w:rPr>
          <w:t>пункті 6</w:t>
        </w:r>
      </w:hyperlink>
      <w:r>
        <w:rPr>
          <w:rStyle w:val="spanrvts0"/>
          <w:lang w:val="uk" w:eastAsia="uk"/>
        </w:rPr>
        <w:t>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5" w:name="n16"/>
      <w:bookmarkEnd w:id="15"/>
      <w:r>
        <w:rPr>
          <w:rStyle w:val="spanrvts0"/>
          <w:lang w:val="uk" w:eastAsia="uk"/>
        </w:rPr>
        <w:t>1) абзац п’ятий викласти в такій редакції: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6" w:name="n17"/>
      <w:bookmarkEnd w:id="16"/>
      <w:r>
        <w:rPr>
          <w:rStyle w:val="spanrvts0"/>
          <w:lang w:val="uk" w:eastAsia="uk"/>
        </w:rPr>
        <w:t>“довідки про взяття д</w:t>
      </w:r>
      <w:r>
        <w:rPr>
          <w:rStyle w:val="spanrvts0"/>
          <w:lang w:val="uk" w:eastAsia="uk"/>
        </w:rPr>
        <w:t>итини на облік як внутрішньо переміщеної особи (у разі наявності);”;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7" w:name="n18"/>
      <w:bookmarkEnd w:id="17"/>
      <w:r>
        <w:rPr>
          <w:rStyle w:val="spanrvts0"/>
          <w:lang w:val="uk" w:eastAsia="uk"/>
        </w:rPr>
        <w:t>2) доповнити пункт після абзацу п’ятого новими абзацами такого змісту: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8" w:name="n19"/>
      <w:bookmarkEnd w:id="18"/>
      <w:r>
        <w:rPr>
          <w:rStyle w:val="spanrvts0"/>
          <w:lang w:val="uk" w:eastAsia="uk"/>
        </w:rPr>
        <w:t>“паспорта громадянина України, виготовленого у формі книжечки (у разі наявності);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19" w:name="n20"/>
      <w:bookmarkEnd w:id="19"/>
      <w:r>
        <w:rPr>
          <w:rStyle w:val="spanrvts0"/>
          <w:lang w:val="uk" w:eastAsia="uk"/>
        </w:rPr>
        <w:lastRenderedPageBreak/>
        <w:t>паспорта громадянина України або п</w:t>
      </w:r>
      <w:r>
        <w:rPr>
          <w:rStyle w:val="spanrvts0"/>
          <w:lang w:val="uk" w:eastAsia="uk"/>
        </w:rPr>
        <w:t>аспорта громадянина України для виїзду за кордон у формі е-паспорта або е-паспорта для виїзду за кордон (у разі наявності);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0" w:name="n21"/>
      <w:bookmarkEnd w:id="20"/>
      <w:r>
        <w:rPr>
          <w:rStyle w:val="spanrvts0"/>
          <w:lang w:val="uk" w:eastAsia="uk"/>
        </w:rPr>
        <w:t>витягу з реєстру територіальної громади (у разі наявності).”.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1" w:name="n22"/>
      <w:bookmarkEnd w:id="21"/>
      <w:r>
        <w:rPr>
          <w:rStyle w:val="spanrvts0"/>
          <w:lang w:val="uk" w:eastAsia="uk"/>
        </w:rPr>
        <w:t>У зв’язку з цим абзаци шостий - п’ятнадцятий вважати відповідно абзаца</w:t>
      </w:r>
      <w:r>
        <w:rPr>
          <w:rStyle w:val="spanrvts0"/>
          <w:lang w:val="uk" w:eastAsia="uk"/>
        </w:rPr>
        <w:t>ми дев’ятим - вісімнадцятим;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2" w:name="n23"/>
      <w:bookmarkEnd w:id="22"/>
      <w:r>
        <w:rPr>
          <w:rStyle w:val="spanrvts0"/>
          <w:lang w:val="uk" w:eastAsia="uk"/>
        </w:rPr>
        <w:t>3) абзаци дев’ятий і десятий викласти в такій редакції: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3" w:name="n24"/>
      <w:bookmarkEnd w:id="23"/>
      <w:r>
        <w:rPr>
          <w:rStyle w:val="spanrvts0"/>
          <w:lang w:val="uk" w:eastAsia="uk"/>
        </w:rPr>
        <w:t>“У разі відсутності відомостей про задеклароване/зареєстроване місце проживання/перебування дитини або документів, зазначених в абзацах другому - п’ятому цього пункту, док</w:t>
      </w:r>
      <w:r>
        <w:rPr>
          <w:rStyle w:val="spanrvts0"/>
          <w:lang w:val="uk" w:eastAsia="uk"/>
        </w:rPr>
        <w:t>азами підтвердження її місця проживання/перебування на території, на якій ведуться (велися) бойові дії або тимчасово окупованій Російською Федерацією, можуть бути відомості, які містяться в Державному реєстрі речових прав на нерухоме майно, або документи п</w:t>
      </w:r>
      <w:r>
        <w:rPr>
          <w:rStyle w:val="spanrvts0"/>
          <w:lang w:val="uk" w:eastAsia="uk"/>
        </w:rPr>
        <w:t>ро право власності батьків або дитини на рухоме чи нерухоме майно, або свідоцтво про базову загальну середню освіту, або атестат про повну загальну середню освіту, або документ про професійно-технічну освіту, або табель успішності, або учнівський квиток, а</w:t>
      </w:r>
      <w:r>
        <w:rPr>
          <w:rStyle w:val="spanrvts0"/>
          <w:lang w:val="uk" w:eastAsia="uk"/>
        </w:rPr>
        <w:t>бо медичні документи, або свідоцтво про народження дитини.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4" w:name="n25"/>
      <w:bookmarkEnd w:id="24"/>
      <w:r>
        <w:rPr>
          <w:rStyle w:val="spanrvts0"/>
          <w:lang w:val="uk" w:eastAsia="uk"/>
        </w:rPr>
        <w:t>За обставин, передбачених у підпункті 1 пункту 3 цього Порядку, також подаються виписки з медичної картки дитини або консультаційного висновку спеціаліста, видані після медичного обстеження та ліку</w:t>
      </w:r>
      <w:r>
        <w:rPr>
          <w:rStyle w:val="spanrvts0"/>
          <w:lang w:val="uk" w:eastAsia="uk"/>
        </w:rPr>
        <w:t>вання дитини в закладах охорони здоров’я та науково-дослідних установах, визначених МОЗ, із зазначенням діагнозу згідно з Міжнародною класифікацією хвороб та споріднених проблем здоров’я десятого перегляду, отриманих у період здійснення воєнних дій, збройн</w:t>
      </w:r>
      <w:r>
        <w:rPr>
          <w:rStyle w:val="spanrvts0"/>
          <w:lang w:val="uk" w:eastAsia="uk"/>
        </w:rPr>
        <w:t>их конфліктів.”;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5" w:name="n26"/>
      <w:bookmarkEnd w:id="25"/>
      <w:r>
        <w:rPr>
          <w:rStyle w:val="spanrvts0"/>
          <w:lang w:val="uk" w:eastAsia="uk"/>
        </w:rPr>
        <w:t>4) абзац вісімнадцятий викласти в такій редакції: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6" w:name="n27"/>
      <w:bookmarkEnd w:id="26"/>
      <w:r>
        <w:rPr>
          <w:rStyle w:val="spanrvts0"/>
          <w:lang w:val="uk" w:eastAsia="uk"/>
        </w:rPr>
        <w:t>“копії свідоцтва про смерть та документа, що підтверджує загибель особи внаслідок воєнних дій та збройних конфліктів, або копія документа, що підтверджує смерть особи внаслідок поранення, к</w:t>
      </w:r>
      <w:r>
        <w:rPr>
          <w:rStyle w:val="spanrvts0"/>
          <w:lang w:val="uk" w:eastAsia="uk"/>
        </w:rPr>
        <w:t>онтузії, каліцтва, отриманих внаслідок воєнних дій та збройних конфліктів, у разі загибелі батьків дитини або одного з них із числа цивільних осіб.”.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7" w:name="n28"/>
      <w:bookmarkEnd w:id="27"/>
      <w:r>
        <w:rPr>
          <w:rStyle w:val="spanrvts0"/>
          <w:lang w:val="uk" w:eastAsia="uk"/>
        </w:rPr>
        <w:t xml:space="preserve">5. </w:t>
      </w:r>
      <w:hyperlink r:id="rId13" w:anchor="n34" w:tgtFrame="_blank" w:history="1">
        <w:r>
          <w:rPr>
            <w:rStyle w:val="arvts96"/>
            <w:lang w:val="uk" w:eastAsia="uk"/>
          </w:rPr>
          <w:t>Пункт 9</w:t>
        </w:r>
      </w:hyperlink>
      <w:r>
        <w:rPr>
          <w:rStyle w:val="spanrvts0"/>
          <w:lang w:val="uk" w:eastAsia="uk"/>
        </w:rPr>
        <w:t xml:space="preserve"> викласти в такій редакції:</w:t>
      </w:r>
    </w:p>
    <w:p w:rsidR="00227EEA" w:rsidRDefault="00BA09EC">
      <w:pPr>
        <w:pStyle w:val="rvps2"/>
        <w:spacing w:after="150"/>
        <w:rPr>
          <w:rStyle w:val="spanrvts0"/>
          <w:lang w:val="uk" w:eastAsia="uk"/>
        </w:rPr>
      </w:pPr>
      <w:bookmarkStart w:id="28" w:name="n29"/>
      <w:bookmarkEnd w:id="28"/>
      <w:r>
        <w:rPr>
          <w:rStyle w:val="spanrvts0"/>
          <w:lang w:val="uk" w:eastAsia="uk"/>
        </w:rPr>
        <w:t xml:space="preserve">“9. Заява про надання статусу реєструється в журналі обліку таких заяв, що ведеться за формою, затвердженою Мінсоцполітики. За результатами розгляду заяви робиться відповідна відмітка: надано статус/відмовлено в наданні </w:t>
      </w:r>
      <w:r>
        <w:rPr>
          <w:rStyle w:val="spanrvts0"/>
          <w:lang w:val="uk" w:eastAsia="uk"/>
        </w:rPr>
        <w:t>статусу.”.</w:t>
      </w:r>
    </w:p>
    <w:p w:rsidR="00227EEA" w:rsidRDefault="00227EEA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729"/>
        <w:gridCol w:w="2475"/>
      </w:tblGrid>
      <w:tr w:rsidR="00227EEA" w:rsidRPr="00BA09EC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EEA" w:rsidRDefault="00BA09EC">
            <w:pPr>
              <w:jc w:val="center"/>
              <w:rPr>
                <w:lang w:val="uk" w:eastAsia="uk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0004" name="Рисунок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EEA" w:rsidRDefault="00BA09EC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внесення змін до Порядку надання статусу дитини, яка постраждала внаслідок воєнних дій та збройних конфліктів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Постанова Кабінету Міністрів України від 01.06.2023 № 547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01.06.2023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</w:t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/547-2023-%D0%BF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EEA" w:rsidRDefault="00BA09EC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07.06.2023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0" cy="339213"/>
                  <wp:effectExtent l="0" t="0" r="0" b="0"/>
                  <wp:docPr id="100006" name="Рисунок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EEA" w:rsidRDefault="00BA09EC" w:rsidP="00BA09EC">
      <w:pPr>
        <w:rPr>
          <w:lang w:val="uk" w:eastAsia="uk"/>
        </w:rPr>
      </w:pPr>
      <w:r>
        <w:rPr>
          <w:lang w:val="uk" w:eastAsia="uk"/>
        </w:rPr>
        <w:br/>
        <w:t>пу</w:t>
      </w:r>
      <w:r>
        <w:rPr>
          <w:lang w:val="uk" w:eastAsia="uk"/>
        </w:rPr>
        <w:t>блікації документа</w:t>
      </w:r>
    </w:p>
    <w:p w:rsidR="00227EEA" w:rsidRDefault="00BA09EC">
      <w:pPr>
        <w:numPr>
          <w:ilvl w:val="0"/>
          <w:numId w:val="1"/>
        </w:numPr>
        <w:spacing w:before="240"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Урядовий кур'єр</w:t>
      </w:r>
      <w:r>
        <w:rPr>
          <w:lang w:val="uk" w:eastAsia="uk"/>
        </w:rPr>
        <w:t xml:space="preserve"> від 03.06.2023 — № 111</w:t>
      </w:r>
      <w:bookmarkStart w:id="29" w:name="_GoBack"/>
      <w:bookmarkEnd w:id="29"/>
    </w:p>
    <w:sectPr w:rsidR="00227EE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7221A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1605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E06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F2B8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6EE8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80D7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DE4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74BD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38A9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7EEA"/>
    <w:rsid w:val="00227EEA"/>
    <w:rsid w:val="00B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64">
    <w:name w:val="span_rvts64"/>
    <w:basedOn w:val="a0"/>
    <w:rPr>
      <w:rFonts w:ascii="Times New Roman" w:eastAsia="Times New Roman" w:hAnsi="Times New Roman" w:cs="Times New Roman"/>
      <w:b/>
      <w:bCs/>
      <w:i w:val="0"/>
      <w:iCs w:val="0"/>
      <w:sz w:val="36"/>
      <w:szCs w:val="36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pPr>
      <w:jc w:val="center"/>
    </w:p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4">
    <w:name w:val="rvps4"/>
    <w:basedOn w:val="a"/>
    <w:pPr>
      <w:jc w:val="center"/>
    </w:p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paragraph" w:customStyle="1" w:styleId="rvps14">
    <w:name w:val="rvps14"/>
    <w:basedOn w:val="a"/>
  </w:style>
  <w:style w:type="paragraph" w:customStyle="1" w:styleId="rvps12">
    <w:name w:val="rvps12"/>
    <w:basedOn w:val="a"/>
    <w:pPr>
      <w:jc w:val="center"/>
    </w:pPr>
  </w:style>
  <w:style w:type="character" w:customStyle="1" w:styleId="arvts105">
    <w:name w:val="a_rvts105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32"/>
      <w:szCs w:val="32"/>
    </w:rPr>
  </w:style>
  <w:style w:type="character" w:customStyle="1" w:styleId="spanrvts96">
    <w:name w:val="span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BA0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8-2017-%D0%BF" TargetMode="External"/><Relationship Id="rId13" Type="http://schemas.openxmlformats.org/officeDocument/2006/relationships/hyperlink" Target="https://zakon.rada.gov.ua/laws/show/268-2017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68-2017-%D0%BF" TargetMode="External"/><Relationship Id="rId12" Type="http://schemas.openxmlformats.org/officeDocument/2006/relationships/hyperlink" Target="https://zakon.rada.gov.ua/laws/show/268-2017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268-2017-%D0%B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zakon.rada.gov.ua/laws/show/268-2017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8-2017-%D0%B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Порядку надання статусу дитини, яка постраждала внаслідок воєнних дій та збройних конфліктів | від 01.06.2023 № 547</dc:title>
  <cp:lastModifiedBy>PERSON</cp:lastModifiedBy>
  <cp:revision>2</cp:revision>
  <dcterms:created xsi:type="dcterms:W3CDTF">2023-06-07T11:43:00Z</dcterms:created>
  <dcterms:modified xsi:type="dcterms:W3CDTF">2023-06-07T11:45:00Z</dcterms:modified>
</cp:coreProperties>
</file>